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xappinc_8k.htm"/>
      <w:bookmarkStart w:id="1" w:name="kscxappinc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0_edei--DocumentType_c20260603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June 3, 2026 (</w:t>
      </w:r>
      <w:bookmarkStart w:id="3" w:name="xdx_90C_edei--DocumentPeriodEndDate_c202"/>
      <w:bookmarkEnd w:id="3"/>
      <w:r>
        <w:rPr>
          <w:rFonts w:ascii="Times New Roman;Times;Serif" w:hAnsi="Times New Roman;Times;Serif"/>
          <w:b/>
          <w:i w:val="false"/>
          <w:caps w:val="false"/>
          <w:smallCaps w:val="false"/>
          <w:sz w:val="20"/>
        </w:rPr>
        <w:t>June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C_edei--EntityRegistrantName_c2026"/>
      <w:bookmarkEnd w:id="4"/>
      <w:r>
        <w:rPr>
          <w:rFonts w:ascii="Times New Roman;Times;Serif" w:hAnsi="Times New Roman;Times;Serif"/>
          <w:b/>
          <w:i w:val="false"/>
          <w:caps w:val="false"/>
          <w:smallCaps w:val="false"/>
          <w:sz w:val="28"/>
        </w:rPr>
        <w:t>CXApp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5160" w:type="dxa"/>
        <w:jc w:val="left"/>
        <w:tblInd w:w="0" w:type="dxa"/>
        <w:tblLayout w:type="fixed"/>
        <w:tblCellMar>
          <w:top w:w="0" w:type="dxa"/>
          <w:left w:w="0" w:type="dxa"/>
          <w:bottom w:w="28" w:type="dxa"/>
          <w:right w:w="0" w:type="dxa"/>
        </w:tblCellMar>
      </w:tblPr>
      <w:tblGrid>
        <w:gridCol w:w="2165"/>
        <w:gridCol w:w="60"/>
        <w:gridCol w:w="1100"/>
        <w:gridCol w:w="60"/>
        <w:gridCol w:w="1775"/>
      </w:tblGrid>
      <w:tr>
        <w:trPr/>
        <w:tc>
          <w:tcPr>
            <w:tcW w:w="2165" w:type="dxa"/>
            <w:tcBorders>
              <w:bottom w:val="single" w:sz="8" w:space="0" w:color="000000"/>
            </w:tcBorders>
            <w:vAlign w:val="center"/>
          </w:tcPr>
          <w:p>
            <w:pPr>
              <w:pStyle w:val="TableContents"/>
              <w:bidi w:val="0"/>
              <w:spacing w:before="0" w:after="283"/>
              <w:jc w:val="center"/>
              <w:rPr>
                <w:b/>
              </w:rPr>
            </w:pPr>
            <w:bookmarkStart w:id="5" w:name="xdx_90C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1100" w:type="dxa"/>
            <w:tcBorders>
              <w:bottom w:val="single" w:sz="8" w:space="0" w:color="000000"/>
            </w:tcBorders>
            <w:vAlign w:val="center"/>
          </w:tcPr>
          <w:p>
            <w:pPr>
              <w:pStyle w:val="TableContents"/>
              <w:bidi w:val="0"/>
              <w:spacing w:before="0" w:after="283"/>
              <w:jc w:val="center"/>
              <w:rPr>
                <w:b/>
              </w:rPr>
            </w:pPr>
            <w:bookmarkStart w:id="6" w:name="xdx_905_edei--EntityFileNumber_c20260603"/>
            <w:bookmarkEnd w:id="6"/>
            <w:r>
              <w:rPr>
                <w:b/>
              </w:rPr>
              <w:t>001-39642</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8_edei--EntityTaxIdentificationNum"/>
            <w:bookmarkEnd w:id="7"/>
            <w:r>
              <w:rPr>
                <w:b/>
              </w:rPr>
              <w:t>85-2104918</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7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(I.R.S. Employer</w:t>
              <w:b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Four Palo Alto Square, </w:t>
            </w:r>
            <w:bookmarkStart w:id="9" w:name="xdx_900_edei--EntityAddressAddressLine2_"/>
            <w:bookmarkEnd w:id="9"/>
            <w:r>
              <w:rPr>
                <w:rFonts w:ascii="Times New Roman;Times;Serif" w:hAnsi="Times New Roman;Times;Serif"/>
                <w:b/>
                <w:i w:val="false"/>
                <w:caps w:val="false"/>
                <w:smallCaps w:val="false"/>
                <w:sz w:val="20"/>
              </w:rPr>
              <w:t>Suite 200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AddressLine3_"/>
            <w:bookmarkEnd w:id="10"/>
            <w:r>
              <w:rPr>
                <w:rFonts w:ascii="Times New Roman;Times;Serif" w:hAnsi="Times New Roman;Times;Serif"/>
                <w:b/>
                <w:i w:val="false"/>
                <w:caps w:val="false"/>
                <w:smallCaps w:val="false"/>
                <w:sz w:val="20"/>
              </w:rPr>
              <w:t>3000 El Camino Real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7_edei--EntityAddressCityOrTown_c2"/>
            <w:bookmarkEnd w:id="11"/>
            <w:r>
              <w:rPr>
                <w:rFonts w:ascii="Times New Roman;Times;Serif" w:hAnsi="Times New Roman;Times;Serif"/>
                <w:b/>
                <w:i w:val="false"/>
                <w:caps w:val="false"/>
                <w:smallCaps w:val="false"/>
                <w:sz w:val="20"/>
              </w:rPr>
              <w:t xml:space="preserve">California, </w:t>
            </w:r>
            <w:bookmarkStart w:id="12" w:name="xdx_909_edei--EntityAddressStateOrProvin"/>
            <w:bookmarkEnd w:id="12"/>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8" w:space="0" w:color="000000"/>
            </w:tcBorders>
            <w:vAlign w:val="center"/>
          </w:tcPr>
          <w:p>
            <w:pPr>
              <w:pStyle w:val="TableContents"/>
              <w:bidi w:val="0"/>
              <w:spacing w:before="0" w:after="283"/>
              <w:jc w:val="center"/>
              <w:rPr>
                <w:b/>
              </w:rPr>
            </w:pPr>
            <w:bookmarkStart w:id="13" w:name="xdx_90F_edei--EntityAddressPostalZipCode"/>
            <w:bookmarkEnd w:id="13"/>
            <w:r>
              <w:rPr>
                <w:b/>
              </w:rPr>
              <w:t>94306</w:t>
            </w:r>
          </w:p>
        </w:tc>
      </w:tr>
      <w:tr>
        <w:trPr/>
        <w:tc>
          <w:tcPr>
            <w:tcW w:w="375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8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8_edei--CityAreaCode_c20260603__20"/>
      <w:bookmarkEnd w:id="14"/>
      <w:r>
        <w:rPr>
          <w:rFonts w:ascii="Times New Roman;Times;Serif" w:hAnsi="Times New Roman;Times;Serif"/>
          <w:b/>
          <w:i w:val="false"/>
          <w:caps w:val="false"/>
          <w:smallCaps w:val="false"/>
          <w:sz w:val="20"/>
        </w:rPr>
        <w:t xml:space="preserve">(650) </w:t>
      </w:r>
      <w:bookmarkStart w:id="15" w:name="xdx_902_edei--LocalPhoneNumber_c20260603"/>
      <w:bookmarkEnd w:id="15"/>
      <w:r>
        <w:rPr>
          <w:rFonts w:ascii="Times New Roman;Times;Serif" w:hAnsi="Times New Roman;Times;Serif"/>
          <w:b/>
          <w:i w:val="false"/>
          <w:caps w:val="false"/>
          <w:smallCaps w:val="false"/>
          <w:sz w:val="20"/>
        </w:rPr>
        <w:t>785-7171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A_edei--WrittenCommunications_c202"/>
            <w:bookmarkEnd w:id="16"/>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720" w:right="0" w:hanging="72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9_edei--SolicitingMaterial_c202606"/>
            <w:bookmarkEnd w:id="17"/>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720"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7_edei--PreCommencementTenderOffer"/>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720" w:right="0" w:hanging="72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B_edei--PreCommencementIssuerTende"/>
            <w:bookmarkEnd w:id="19"/>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17"/>
        <w:gridCol w:w="60"/>
        <w:gridCol w:w="1846"/>
        <w:gridCol w:w="60"/>
        <w:gridCol w:w="4222"/>
      </w:tblGrid>
      <w:tr>
        <w:trPr/>
        <w:tc>
          <w:tcPr>
            <w:tcW w:w="4017"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46"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222"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4017" w:type="dxa"/>
            <w:tcBorders/>
            <w:shd w:fill="CCEEFF" w:val="clear"/>
            <w:tcMar>
              <w:bottom w:w="0" w:type="dxa"/>
            </w:tcMar>
            <w:vAlign w:val="center"/>
          </w:tcPr>
          <w:p>
            <w:pPr>
              <w:pStyle w:val="TableContents"/>
              <w:bidi w:val="0"/>
              <w:spacing w:before="0" w:after="283"/>
              <w:jc w:val="center"/>
              <w:rPr/>
            </w:pPr>
            <w:bookmarkStart w:id="20" w:name="xdx_90F_edei--Security12bTitle_c20260603"/>
            <w:bookmarkEnd w:id="20"/>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46" w:type="dxa"/>
            <w:tcBorders/>
            <w:shd w:fill="CCEEFF" w:val="clear"/>
            <w:tcMar>
              <w:bottom w:w="0" w:type="dxa"/>
            </w:tcMar>
            <w:vAlign w:val="center"/>
          </w:tcPr>
          <w:p>
            <w:pPr>
              <w:pStyle w:val="TableContents"/>
              <w:bidi w:val="0"/>
              <w:spacing w:before="0" w:after="283"/>
              <w:jc w:val="center"/>
              <w:rPr/>
            </w:pPr>
            <w:bookmarkStart w:id="21" w:name="xdx_902_edei--TradingSymbol_c20260603__2"/>
            <w:bookmarkEnd w:id="21"/>
            <w:r>
              <w:rPr/>
              <w:t>CXAI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22" w:type="dxa"/>
            <w:tcBorders/>
            <w:shd w:fill="CCEEFF" w:val="clear"/>
            <w:tcMar>
              <w:bottom w:w="0" w:type="dxa"/>
            </w:tcMar>
            <w:vAlign w:val="center"/>
          </w:tcPr>
          <w:p>
            <w:pPr>
              <w:pStyle w:val="TableContents"/>
              <w:bidi w:val="0"/>
              <w:spacing w:before="0" w:after="283"/>
              <w:jc w:val="center"/>
              <w:rPr/>
            </w:pPr>
            <w:r>
              <w:rPr/>
              <w:t xml:space="preserve">The </w:t>
            </w:r>
            <w:bookmarkStart w:id="22" w:name="xdx_90B_edei--SecurityExchangeName_c2026"/>
            <w:bookmarkEnd w:id="22"/>
            <w:r>
              <w:rPr/>
              <w:t>Nasdaq Stock Market LLC</w:t>
            </w:r>
          </w:p>
        </w:tc>
      </w:tr>
      <w:tr>
        <w:trPr/>
        <w:tc>
          <w:tcPr>
            <w:tcW w:w="4017" w:type="dxa"/>
            <w:tcBorders/>
            <w:shd w:fill="FFFFFF" w:val="clear"/>
            <w:tcMar>
              <w:bottom w:w="0" w:type="dxa"/>
            </w:tcMar>
            <w:vAlign w:val="center"/>
          </w:tcPr>
          <w:p>
            <w:pPr>
              <w:pStyle w:val="TableContents"/>
              <w:bidi w:val="0"/>
              <w:spacing w:before="0" w:after="283"/>
              <w:jc w:val="center"/>
              <w:rPr/>
            </w:pPr>
            <w:bookmarkStart w:id="23" w:name="xdx_908_edei--Security12bTitle_c20260603"/>
            <w:bookmarkEnd w:id="23"/>
            <w:r>
              <w:rPr/>
              <w:t>Warrants to purchase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46" w:type="dxa"/>
            <w:tcBorders/>
            <w:shd w:fill="FFFFFF" w:val="clear"/>
            <w:tcMar>
              <w:bottom w:w="0" w:type="dxa"/>
            </w:tcMar>
            <w:vAlign w:val="center"/>
          </w:tcPr>
          <w:p>
            <w:pPr>
              <w:pStyle w:val="TableContents"/>
              <w:bidi w:val="0"/>
              <w:spacing w:before="0" w:after="283"/>
              <w:jc w:val="center"/>
              <w:rPr/>
            </w:pPr>
            <w:bookmarkStart w:id="24" w:name="xdx_90E_edei--TradingSymbol_c20260603__2"/>
            <w:bookmarkEnd w:id="24"/>
            <w:r>
              <w:rPr/>
              <w:t>CXAIW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22" w:type="dxa"/>
            <w:tcBorders/>
            <w:shd w:fill="FFFFFF" w:val="clear"/>
            <w:tcMar>
              <w:bottom w:w="0" w:type="dxa"/>
            </w:tcMar>
            <w:vAlign w:val="center"/>
          </w:tcPr>
          <w:p>
            <w:pPr>
              <w:pStyle w:val="TableContents"/>
              <w:bidi w:val="0"/>
              <w:spacing w:before="0" w:after="283"/>
              <w:jc w:val="center"/>
              <w:rPr/>
            </w:pPr>
            <w:r>
              <w:rPr/>
              <w:t xml:space="preserve">The </w:t>
            </w:r>
            <w:bookmarkStart w:id="25" w:name="xdx_903_edei--SecurityExchangeName_c2026"/>
            <w:bookmarkEnd w:id="25"/>
            <w:r>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7_edei--EntityEmergingGrowthCompan"/>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CXApp Inc. (the “Company”) issued an aggregate of 12,267,843 shares of common stock to Avondale Capital, LLC (“Avondale”) under a Pre-Paid Purchase #3, dated as of October 17, 2025, which was entered into pursuant to the Securities Purchase Agreement, dated as of March 26, 2025, by and between the Company and Avondale. The shares of common stock were issued between June 1, 2026 and June 3, 2026, at a price between $0.126216 and $0.126217 per share. The offer and sale of these shares of common stock was made in reliance on Section 4(a)(2) of the Securities Act of 1933, as amended, for transactions not involving a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“forward-looking statements” within the meaning of the “safe harbor” provisions of the Private Securities Litigation Reform Act of 1995. The expectations, estimates, and projections of the Company may differ from its actual results and consequently, you should not rely on these forward-looking statements as predictions of future events. Words such as “expect,” “estimate,” “project,” “budget,” “forecast,” “anticipate,” “intend,” “plan,” “may,” “will,” “could,” “should,” “believes,” “predicts,” “potential,” “continue,” or the negative or other variations thereof and similar expressions are intended to identify such forward looking statements. These forward-looking statements include, without limitation, expectations with respect to future performance of the Company, including projected financial information (which is not audited or reviewed by the Company’s auditors), and the future plans, operations and opportunities for the Company and other statements that are not historical facts. These statements are based on the current expectations of the Company’s management and are not predictions of actual performance. These forward-looking statements involve significant risks and uncertainties that could cause the actual results to differ materially from the expected results. Factors that may cause such differences include, but are not limited to: the demand for the Company’s services together with the possibility that the Company may be adversely affected by other economic, business, and/or competitive factors or changes in the business environment in which the Company operates; changes in consumer preferences or the market for the Company’s services; changes in applicable laws or regulations; the availability or competition for opportunities for expansion of the Company’s business; difficulties of managing growth profitably; the loss of one or more members of the Company’s management team; loss of a major customer and other risks and uncertainties included from time to time in the Company’s reports (including all amendments to those reports) filed with the Securities and Exchange Commission. The Company cautions that the foregoing list of factors is not exclusive. You should not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 These forward-looking statements should not be relied upon as representing the Company’s assessments as of any date subsequent to the date of this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165" w:type="dxa"/>
        <w:jc w:val="left"/>
        <w:tblInd w:w="0" w:type="dxa"/>
        <w:tblLayout w:type="fixed"/>
        <w:tblCellMar>
          <w:top w:w="0" w:type="dxa"/>
          <w:left w:w="0" w:type="dxa"/>
          <w:bottom w:w="0" w:type="dxa"/>
          <w:right w:w="0" w:type="dxa"/>
        </w:tblCellMar>
      </w:tblPr>
      <w:tblGrid>
        <w:gridCol w:w="1820"/>
        <w:gridCol w:w="650"/>
        <w:gridCol w:w="3695"/>
      </w:tblGrid>
      <w:tr>
        <w:trPr/>
        <w:tc>
          <w:tcPr>
            <w:tcW w:w="182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b/>
              </w:rPr>
            </w:pPr>
            <w:r>
              <w:rPr>
                <w:b/>
              </w:rPr>
              <w:t>CXApp Inc.</w:t>
            </w:r>
          </w:p>
        </w:tc>
      </w:tr>
      <w:tr>
        <w:trPr/>
        <w:tc>
          <w:tcPr>
            <w:tcW w:w="182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Date: June 3, 2026</w:t>
            </w:r>
          </w:p>
        </w:tc>
        <w:tc>
          <w:tcPr>
            <w:tcW w:w="650" w:type="dxa"/>
            <w:tcBorders/>
            <w:vAlign w:val="center"/>
          </w:tcPr>
          <w:p>
            <w:pPr>
              <w:pStyle w:val="TableContents"/>
              <w:bidi w:val="0"/>
              <w:spacing w:before="0" w:after="283"/>
              <w:jc w:val="left"/>
              <w:rPr/>
            </w:pPr>
            <w:r>
              <w:rPr/>
              <w:t>By:</w:t>
            </w:r>
          </w:p>
        </w:tc>
        <w:tc>
          <w:tcPr>
            <w:tcW w:w="3695" w:type="dxa"/>
            <w:tcBorders>
              <w:bottom w:val="single" w:sz="8" w:space="0" w:color="000000"/>
            </w:tcBorders>
            <w:tcMar>
              <w:bottom w:w="28" w:type="dxa"/>
            </w:tcMar>
            <w:vAlign w:val="center"/>
          </w:tcPr>
          <w:p>
            <w:pPr>
              <w:pStyle w:val="TableContents"/>
              <w:bidi w:val="0"/>
              <w:spacing w:before="0" w:after="283"/>
              <w:jc w:val="left"/>
              <w:rPr/>
            </w:pPr>
            <w:r>
              <w:rPr/>
              <w:t>/s/ Khurram P. Sheikh</w:t>
            </w:r>
          </w:p>
        </w:tc>
      </w:tr>
      <w:tr>
        <w:trPr/>
        <w:tc>
          <w:tcPr>
            <w:tcW w:w="18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695" w:type="dxa"/>
            <w:tcBorders/>
            <w:vAlign w:val="center"/>
          </w:tcPr>
          <w:p>
            <w:pPr>
              <w:pStyle w:val="TableContents"/>
              <w:bidi w:val="0"/>
              <w:spacing w:before="0" w:after="283"/>
              <w:jc w:val="left"/>
              <w:rPr/>
            </w:pPr>
            <w:r>
              <w:rPr/>
              <w:t>Khurram P. Sheikh</w:t>
            </w:r>
          </w:p>
        </w:tc>
      </w:tr>
      <w:tr>
        <w:trPr/>
        <w:tc>
          <w:tcPr>
            <w:tcW w:w="18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95" w:type="dxa"/>
            <w:tcBorders/>
            <w:vAlign w:val="center"/>
          </w:tcPr>
          <w:p>
            <w:pPr>
              <w:pStyle w:val="TableContents"/>
              <w:bidi w:val="0"/>
              <w:spacing w:before="0" w:after="283"/>
              <w:jc w:val="left"/>
              <w:rPr/>
            </w:pPr>
            <w:r>
              <w:rPr/>
              <w:t>Chairman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899</Words>
  <Characters>5053</Characters>
  <CharactersWithSpaces>5953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