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28, 2026 (May 21,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CXApp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252"/>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2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001-39642</w:t>
            </w:r>
          </w:p>
        </w:tc>
        <w:tc>
          <w:tcPr>
            <w:tcW w:w="220" w:type="dxa"/>
            <w:vAlign w:val="bottom"/>
          </w:tcPr>
          <w:p>
            <w:pPr>
              <w:spacing w:after="0"/>
              <w:rPr>
                <w:sz w:val="21"/>
                <w:szCs w:val="21"/>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85-2104918</w:t>
            </w:r>
          </w:p>
        </w:tc>
      </w:tr>
      <w:tr>
        <w:trPr>
          <w:trHeight w:val="191"/>
        </w:trPr>
        <w:tc>
          <w:tcPr>
            <w:tcW w:w="42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40" w:type="dxa"/>
            <w:vAlign w:val="bottom"/>
          </w:tcPr>
          <w:p>
            <w:pPr>
              <w:spacing w:after="0"/>
              <w:rPr>
                <w:sz w:val="16"/>
                <w:szCs w:val="16"/>
                <w:color w:val="auto"/>
              </w:rPr>
            </w:pPr>
          </w:p>
        </w:tc>
        <w:tc>
          <w:tcPr>
            <w:tcW w:w="2240" w:type="dxa"/>
            <w:vAlign w:val="bottom"/>
            <w:tcBorders>
              <w:top w:val="single" w:sz="8" w:color="auto"/>
            </w:tcBorders>
            <w:gridSpan w:val="3"/>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20" w:type="dxa"/>
            <w:vAlign w:val="bottom"/>
          </w:tcPr>
          <w:p>
            <w:pPr>
              <w:spacing w:after="0"/>
              <w:rPr>
                <w:sz w:val="16"/>
                <w:szCs w:val="16"/>
                <w:color w:val="auto"/>
              </w:rPr>
            </w:pPr>
          </w:p>
        </w:tc>
        <w:tc>
          <w:tcPr>
            <w:tcW w:w="42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46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color w:val="auto"/>
                <w:w w:val="98"/>
              </w:rPr>
              <w:t>File Number)</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520" w:type="dxa"/>
            <w:vAlign w:val="bottom"/>
            <w:gridSpan w:val="2"/>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Four Palo Alto Square, Suite 200</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216"/>
        </w:trPr>
        <w:tc>
          <w:tcPr>
            <w:tcW w:w="4520" w:type="dxa"/>
            <w:vAlign w:val="bottom"/>
            <w:gridSpan w:val="2"/>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rPr>
              <w:t>3000 El Camino Real</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38"/>
        </w:trPr>
        <w:tc>
          <w:tcPr>
            <w:tcW w:w="4520" w:type="dxa"/>
            <w:vAlign w:val="bottom"/>
            <w:tcBorders>
              <w:bottom w:val="single" w:sz="8" w:color="auto"/>
            </w:tcBorders>
            <w:gridSpan w:val="2"/>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California, CA</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94306</w:t>
            </w:r>
          </w:p>
        </w:tc>
      </w:tr>
      <w:tr>
        <w:trPr>
          <w:trHeight w:val="228"/>
        </w:trPr>
        <w:tc>
          <w:tcPr>
            <w:tcW w:w="4520" w:type="dxa"/>
            <w:vAlign w:val="bottom"/>
            <w:gridSpan w:val="2"/>
          </w:tcPr>
          <w:p>
            <w:pPr>
              <w:jc w:val="center"/>
              <w:ind w:left="9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60" w:type="dxa"/>
            <w:vAlign w:val="bottom"/>
          </w:tcPr>
          <w:p>
            <w:pPr>
              <w:jc w:val="center"/>
              <w:ind w:right="11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785-7171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9"/>
        </w:trPr>
        <w:tc>
          <w:tcPr>
            <w:tcW w:w="4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CXAI</w:t>
            </w:r>
          </w:p>
        </w:tc>
        <w:tc>
          <w:tcPr>
            <w:tcW w:w="2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Warrants to purchase common stock</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CXAIW</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505460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CXApp Inc. (the “Company”) issued an aggregate of 26,729,531 shares of common stock to Avondale Capital, LLC (“Avondale”) under a Pre-Paid Purchase #3, dated as of October 17, 2025, which was entered into pursuant to the Securities Purchase Agreement, dated as of March 26, 2025, by and between the Company and Avondale. The shares of common stock were issued between May 15, 2026 and May 27, 2026, at a price between $0.126216 and $0.135317 per share. The offer and sale of these shares of common stock was made in reliance on Section 4(a)(2) of the Securities Act of 1933, as amended, for transactions not involving a public offering.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the “safe harbor” provisions of the Private Securities Litigation Reform Act of 1995. The expectations, estimates, and projections of the Company may differ from its actual results and consequently, you should not rely on these forward-looking statements as predictions of future events. Words such as “expect,” “estimate,” “project,” “budget,” “forecast,” “anticipate,” “intend,” “plan,” “may,” “will,” “could,” “should,” “believes,” “predicts,” “potential,” “continue,” or the negative or other variations thereof and similar expressions are intended to identify such forward looking statements. These forward-looking statements include, without limitation, expectations with respect to future performance of the Company, including projected financial information (which is not audited or reviewed by the Company’s auditors), and the future plans, operations and opportunities for the Company and other statements that are not historical facts. These statements are based on the current expectations of the Company’s management and are not predictions of actual performance. These forward-looking statements involve significant risks and uncertainties that could cause the actual results to differ materially from the expected results. Factors that may cause such differences include, but are not limited to: the demand for the Company’s services together with the possibility that the Company may be adversely affected by other economic, business, and/or competitive factors or changes in the business environment in which the Company operates; changes in consumer preferences or the market for the Company’s services; changes in applicable laws or regulations; the availability or competition for opportunities for expansion of the Company’s business; difficulties of managing growth profitably; the loss of one or more members of the Company’s management team; loss of a major customer and other risks and uncertainties included from time to time in the Company’s reports (including all amendments to those reports) filed with the Securities and Exchange Commission. The Company cautions that the foregoing list of factors is not exclusive. You should not place undue reliance upon any forward-looking statements, which speak only as of the date made. The Company does not undertake or accept any obligation or undertaking to release publicly any updates or revisions to any forward-looking statements to reflect any change in its expectations or any change in events, conditions, or circumstances on which any such statement is based, except as required by law. These forward-looking statements should not be relied upon as representing the Company’s assessments as of any date subsequent to the date of this communication.</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CXApp Inc.</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28, 2026</w:t>
            </w: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Khurram P. Sheikh</w:t>
            </w:r>
          </w:p>
        </w:tc>
      </w:tr>
      <w:tr>
        <w:trPr>
          <w:trHeight w:val="191"/>
        </w:trPr>
        <w:tc>
          <w:tcPr>
            <w:tcW w:w="3520" w:type="dxa"/>
            <w:vAlign w:val="bottom"/>
          </w:tcPr>
          <w:p>
            <w:pPr>
              <w:spacing w:after="0"/>
              <w:rPr>
                <w:sz w:val="16"/>
                <w:szCs w:val="16"/>
                <w:color w:val="auto"/>
              </w:rPr>
            </w:pPr>
          </w:p>
        </w:tc>
        <w:tc>
          <w:tcPr>
            <w:tcW w:w="2680" w:type="dxa"/>
            <w:vAlign w:val="bottom"/>
          </w:tcPr>
          <w:p>
            <w:pPr>
              <w:ind w:left="21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Khurram P. Sheikh</w:t>
            </w:r>
          </w:p>
        </w:tc>
      </w:tr>
      <w:tr>
        <w:trPr>
          <w:trHeight w:val="234"/>
        </w:trPr>
        <w:tc>
          <w:tcPr>
            <w:tcW w:w="3520" w:type="dxa"/>
            <w:vAlign w:val="bottom"/>
          </w:tcPr>
          <w:p>
            <w:pPr>
              <w:spacing w:after="0"/>
              <w:rPr>
                <w:sz w:val="20"/>
                <w:szCs w:val="20"/>
                <w:color w:val="auto"/>
              </w:rPr>
            </w:pP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560"/>
        </w:trPr>
        <w:tc>
          <w:tcPr>
            <w:tcW w:w="35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color w:val="auto"/>
              </w:rPr>
              <w:t>2</w:t>
            </w: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2026-05-28T18:31:26Z</dcterms:created>
  <dcterms:modified xsi:type="dcterms:W3CDTF">2026-05-28T18:31:26Z</dcterms:modified>
</cp:coreProperties>
</file>